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043B" w14:textId="15DA33ED" w:rsidR="00A02EE0" w:rsidRDefault="00A02EE0" w:rsidP="00D47791">
      <w:pPr>
        <w:jc w:val="right"/>
      </w:pPr>
    </w:p>
    <w:p w14:paraId="1B772525" w14:textId="77777777" w:rsidR="00B73497" w:rsidRPr="00B73497" w:rsidRDefault="00B73497" w:rsidP="00D47791">
      <w:pPr>
        <w:pStyle w:val="NoSpacing"/>
        <w:rPr>
          <w:b/>
          <w:bCs/>
        </w:rPr>
      </w:pPr>
      <w:r w:rsidRPr="00B73497">
        <w:rPr>
          <w:b/>
          <w:bCs/>
        </w:rPr>
        <w:t>FOR IMMEDIATE RELEASE</w:t>
      </w:r>
    </w:p>
    <w:p w14:paraId="44D8CA24" w14:textId="65E71CFC" w:rsidR="00B73497" w:rsidRDefault="00B73497" w:rsidP="00D47791">
      <w:pPr>
        <w:pStyle w:val="NoSpacing"/>
      </w:pPr>
      <w:r>
        <w:t>June 25, 2019</w:t>
      </w:r>
    </w:p>
    <w:p w14:paraId="4BCFAEC7" w14:textId="1A5CF179" w:rsidR="00B73497" w:rsidRDefault="00B73497" w:rsidP="00D47791">
      <w:pPr>
        <w:pStyle w:val="NoSpacing"/>
      </w:pPr>
    </w:p>
    <w:p w14:paraId="7AA85CCF" w14:textId="77777777" w:rsidR="008365BF" w:rsidRDefault="008365BF" w:rsidP="00D47791">
      <w:pPr>
        <w:pStyle w:val="NoSpacing"/>
      </w:pPr>
    </w:p>
    <w:p w14:paraId="7970F11D" w14:textId="77777777" w:rsidR="00B73497" w:rsidRPr="00D915D3" w:rsidRDefault="00B73497" w:rsidP="00D47791">
      <w:pPr>
        <w:pStyle w:val="NoSpacing"/>
        <w:jc w:val="center"/>
        <w:rPr>
          <w:b/>
          <w:bCs/>
          <w:sz w:val="32"/>
          <w:szCs w:val="32"/>
        </w:rPr>
      </w:pPr>
      <w:r>
        <w:rPr>
          <w:b/>
          <w:bCs/>
          <w:sz w:val="32"/>
          <w:szCs w:val="32"/>
        </w:rPr>
        <w:t xml:space="preserve">Annual </w:t>
      </w:r>
      <w:r w:rsidRPr="00D915D3">
        <w:rPr>
          <w:b/>
          <w:bCs/>
          <w:sz w:val="32"/>
          <w:szCs w:val="32"/>
        </w:rPr>
        <w:t>Economic Development Awards Announced</w:t>
      </w:r>
      <w:r w:rsidRPr="00D915D3">
        <w:rPr>
          <w:b/>
          <w:bCs/>
          <w:sz w:val="32"/>
          <w:szCs w:val="32"/>
        </w:rPr>
        <w:br/>
        <w:t xml:space="preserve">By </w:t>
      </w:r>
      <w:r w:rsidRPr="00D915D3">
        <w:rPr>
          <w:b/>
          <w:bCs/>
          <w:i/>
          <w:iCs/>
          <w:sz w:val="32"/>
          <w:szCs w:val="32"/>
        </w:rPr>
        <w:t>Trade &amp; Industry Development</w:t>
      </w:r>
      <w:r w:rsidRPr="00D915D3">
        <w:rPr>
          <w:b/>
          <w:bCs/>
          <w:sz w:val="32"/>
          <w:szCs w:val="32"/>
        </w:rPr>
        <w:t xml:space="preserve"> Magazine</w:t>
      </w:r>
    </w:p>
    <w:p w14:paraId="7CDEEA28" w14:textId="77777777" w:rsidR="00B73497" w:rsidRDefault="00B73497" w:rsidP="00D47791">
      <w:pPr>
        <w:pStyle w:val="NoSpacing"/>
        <w:jc w:val="center"/>
      </w:pPr>
    </w:p>
    <w:p w14:paraId="0EC9EDDB" w14:textId="77777777" w:rsidR="00B73497" w:rsidRPr="00D915D3" w:rsidRDefault="00B73497" w:rsidP="00D47791">
      <w:pPr>
        <w:pStyle w:val="NoSpacing"/>
        <w:jc w:val="center"/>
        <w:rPr>
          <w:i/>
          <w:iCs/>
          <w:sz w:val="24"/>
          <w:szCs w:val="24"/>
        </w:rPr>
      </w:pPr>
      <w:r w:rsidRPr="00D915D3">
        <w:rPr>
          <w:i/>
          <w:iCs/>
          <w:sz w:val="24"/>
          <w:szCs w:val="24"/>
        </w:rPr>
        <w:t xml:space="preserve">Leading publication dedicated to site selection picks major winners </w:t>
      </w:r>
      <w:r w:rsidRPr="00D915D3">
        <w:rPr>
          <w:i/>
          <w:iCs/>
          <w:sz w:val="24"/>
          <w:szCs w:val="24"/>
        </w:rPr>
        <w:br/>
        <w:t>of its 14th Annual Corporate Investment/Community Impact (</w:t>
      </w:r>
      <w:proofErr w:type="spellStart"/>
      <w:r w:rsidRPr="00D915D3">
        <w:rPr>
          <w:i/>
          <w:iCs/>
          <w:sz w:val="24"/>
          <w:szCs w:val="24"/>
        </w:rPr>
        <w:t>CiCi</w:t>
      </w:r>
      <w:proofErr w:type="spellEnd"/>
      <w:r w:rsidRPr="00D915D3">
        <w:rPr>
          <w:i/>
          <w:iCs/>
          <w:sz w:val="24"/>
          <w:szCs w:val="24"/>
        </w:rPr>
        <w:t>) Awards.</w:t>
      </w:r>
    </w:p>
    <w:p w14:paraId="73B69EA2" w14:textId="77777777" w:rsidR="00B73497" w:rsidRDefault="00B73497" w:rsidP="00D47791">
      <w:pPr>
        <w:pStyle w:val="NoSpacing"/>
        <w:jc w:val="center"/>
      </w:pPr>
      <w:bookmarkStart w:id="0" w:name="_GoBack"/>
      <w:bookmarkEnd w:id="0"/>
    </w:p>
    <w:p w14:paraId="3FF08FE8" w14:textId="77777777" w:rsidR="00B73497" w:rsidRDefault="00B73497" w:rsidP="00D47791">
      <w:pPr>
        <w:pStyle w:val="NoSpacing"/>
      </w:pPr>
    </w:p>
    <w:p w14:paraId="0ACD9638" w14:textId="1F1F99D3" w:rsidR="00B73497" w:rsidRDefault="00B73497" w:rsidP="00D47791">
      <w:pPr>
        <w:pStyle w:val="NoSpacing"/>
      </w:pPr>
      <w:r>
        <w:t xml:space="preserve">BIRMINGHAM, Ala. (June </w:t>
      </w:r>
      <w:r w:rsidR="008365BF">
        <w:t>25</w:t>
      </w:r>
      <w:r>
        <w:t xml:space="preserve">, 2019) — </w:t>
      </w:r>
      <w:r w:rsidRPr="00A6584F">
        <w:rPr>
          <w:i/>
          <w:iCs/>
        </w:rPr>
        <w:t>Trade &amp; Industry Development</w:t>
      </w:r>
      <w:r>
        <w:t>, a leading publication dedicated to site selection for businesses, has named the winners of its 2019 Corporate Investment/Community Impact Awards (</w:t>
      </w:r>
      <w:proofErr w:type="spellStart"/>
      <w:r>
        <w:t>CiCi</w:t>
      </w:r>
      <w:proofErr w:type="spellEnd"/>
      <w:r>
        <w:t xml:space="preserve"> Awards). </w:t>
      </w:r>
    </w:p>
    <w:p w14:paraId="0C089B25" w14:textId="77777777" w:rsidR="00B73497" w:rsidRDefault="00B73497" w:rsidP="00D47791">
      <w:pPr>
        <w:pStyle w:val="NoSpacing"/>
      </w:pPr>
    </w:p>
    <w:p w14:paraId="413481C7" w14:textId="77777777" w:rsidR="00B73497" w:rsidRDefault="00B73497" w:rsidP="00D47791">
      <w:pPr>
        <w:pStyle w:val="NoSpacing"/>
      </w:pPr>
      <w:r>
        <w:t xml:space="preserve">This is the 14th year the publication has honored projects around the country that promise—through extensive capital investment or influential community impact—to help shape the communities in which they are located, and in which they continue to develop and grow. </w:t>
      </w:r>
      <w:r w:rsidRPr="00A6584F">
        <w:rPr>
          <w:i/>
          <w:iCs/>
        </w:rPr>
        <w:t>Trade &amp; Industry Development</w:t>
      </w:r>
      <w:r>
        <w:rPr>
          <w:i/>
          <w:iCs/>
        </w:rPr>
        <w:t xml:space="preserve">’s </w:t>
      </w:r>
      <w:proofErr w:type="spellStart"/>
      <w:r w:rsidRPr="00A6584F">
        <w:t>CiCi</w:t>
      </w:r>
      <w:proofErr w:type="spellEnd"/>
      <w:r w:rsidRPr="00A6584F">
        <w:t xml:space="preserve"> Awards</w:t>
      </w:r>
      <w:r>
        <w:t xml:space="preserve"> honor 30 projects—15 in the “Corporate Investment” category and 15 in the “Community Impact” category. All the winners are projects that were announced in 2018.</w:t>
      </w:r>
    </w:p>
    <w:p w14:paraId="166396FF" w14:textId="77777777" w:rsidR="00B73497" w:rsidRDefault="00B73497" w:rsidP="00D47791">
      <w:pPr>
        <w:pStyle w:val="NoSpacing"/>
      </w:pPr>
    </w:p>
    <w:p w14:paraId="05A4771A" w14:textId="77777777" w:rsidR="00B73497" w:rsidRDefault="00B73497" w:rsidP="00D47791">
      <w:pPr>
        <w:pStyle w:val="NoSpacing"/>
      </w:pPr>
      <w:r>
        <w:t xml:space="preserve">“We were thrilled with the hundreds of nominations we received for our </w:t>
      </w:r>
      <w:proofErr w:type="spellStart"/>
      <w:r>
        <w:t>Cici</w:t>
      </w:r>
      <w:proofErr w:type="spellEnd"/>
      <w:r>
        <w:t xml:space="preserve"> Awards,” said Publisher Scott </w:t>
      </w:r>
      <w:proofErr w:type="spellStart"/>
      <w:r>
        <w:t>Swoger</w:t>
      </w:r>
      <w:proofErr w:type="spellEnd"/>
      <w:r>
        <w:t xml:space="preserve">. “It was a challenge narrowing down the field to 30 winners, but we feel we have a great representation of projects that run the gamut from major international corporations to smaller, local companies—all of which, by deciding to locate or expand in a certain area, are helping to shape the community and the economy.” </w:t>
      </w:r>
    </w:p>
    <w:p w14:paraId="1179D858" w14:textId="77777777" w:rsidR="00B73497" w:rsidRDefault="00B73497" w:rsidP="00D47791">
      <w:pPr>
        <w:pStyle w:val="NoSpacing"/>
      </w:pPr>
    </w:p>
    <w:p w14:paraId="0A6D6EC8" w14:textId="77777777" w:rsidR="00B73497" w:rsidRDefault="00B73497" w:rsidP="00D47791">
      <w:pPr>
        <w:pStyle w:val="NoSpacing"/>
      </w:pPr>
      <w:r>
        <w:t>The Corporate Investment winners have all pledged large economic development investments, while the Community Impact winners promise to have a transformational effect on the communities in which they’re located. The 30 award-winning projects represent 28 different companies, with a combined total capital investment of nearly $20 billion. The number of direct jobs created totals 51,910, with countless more indirect positions associated with these projects.</w:t>
      </w:r>
    </w:p>
    <w:p w14:paraId="233F94B9" w14:textId="77777777" w:rsidR="00B73497" w:rsidRDefault="00B73497" w:rsidP="00D47791">
      <w:pPr>
        <w:pStyle w:val="NoSpacing"/>
      </w:pPr>
    </w:p>
    <w:p w14:paraId="59393B2C" w14:textId="14ED21EC" w:rsidR="00B73497" w:rsidRDefault="00B73497" w:rsidP="00D47791">
      <w:pPr>
        <w:pStyle w:val="NoSpacing"/>
      </w:pPr>
      <w:r>
        <w:t xml:space="preserve">Each of the 30 winners are featured in </w:t>
      </w:r>
      <w:r w:rsidRPr="00E93CC5">
        <w:rPr>
          <w:i/>
          <w:iCs/>
        </w:rPr>
        <w:t>Trade &amp; Industry Development’s</w:t>
      </w:r>
      <w:r>
        <w:t xml:space="preserve"> “</w:t>
      </w:r>
      <w:proofErr w:type="spellStart"/>
      <w:r>
        <w:t>CiCi</w:t>
      </w:r>
      <w:proofErr w:type="spellEnd"/>
      <w:r>
        <w:t xml:space="preserve"> Awards Issue 2019,” which is available now in print and online at TradeAndIndustryDev.com.</w:t>
      </w:r>
    </w:p>
    <w:p w14:paraId="683B0F1B" w14:textId="3CBF7DBD" w:rsidR="00B73497" w:rsidRDefault="00B73497" w:rsidP="00B73497">
      <w:pPr>
        <w:pStyle w:val="NoSpacing"/>
        <w:ind w:left="360"/>
      </w:pPr>
    </w:p>
    <w:p w14:paraId="55B341FD" w14:textId="77777777" w:rsidR="00B73497" w:rsidRPr="00E4044F" w:rsidRDefault="00B73497" w:rsidP="00B73497">
      <w:pPr>
        <w:pStyle w:val="NoSpacing"/>
        <w:rPr>
          <w:b/>
          <w:bCs/>
        </w:rPr>
      </w:pPr>
      <w:r w:rsidRPr="00E4044F">
        <w:rPr>
          <w:b/>
          <w:bCs/>
        </w:rPr>
        <w:t xml:space="preserve">2019 </w:t>
      </w:r>
      <w:proofErr w:type="spellStart"/>
      <w:r w:rsidRPr="00E4044F">
        <w:rPr>
          <w:b/>
          <w:bCs/>
        </w:rPr>
        <w:t>CiCi</w:t>
      </w:r>
      <w:proofErr w:type="spellEnd"/>
      <w:r w:rsidRPr="00E4044F">
        <w:rPr>
          <w:b/>
          <w:bCs/>
        </w:rPr>
        <w:t xml:space="preserve"> Awards—Corporate Investment</w:t>
      </w:r>
    </w:p>
    <w:p w14:paraId="58F77398" w14:textId="77777777" w:rsidR="00B73497" w:rsidRDefault="00B73497" w:rsidP="00B73497">
      <w:pPr>
        <w:pStyle w:val="NoSpacing"/>
        <w:numPr>
          <w:ilvl w:val="0"/>
          <w:numId w:val="18"/>
        </w:numPr>
      </w:pPr>
      <w:r>
        <w:t>Texas Instruments, Collin County, Texas</w:t>
      </w:r>
    </w:p>
    <w:p w14:paraId="120F8895" w14:textId="77777777" w:rsidR="008365BF" w:rsidRDefault="00B73497" w:rsidP="008365BF">
      <w:pPr>
        <w:pStyle w:val="NoSpacing"/>
        <w:numPr>
          <w:ilvl w:val="0"/>
          <w:numId w:val="18"/>
        </w:numPr>
      </w:pPr>
      <w:r>
        <w:t>Micron Technology, Prince William County, Va.</w:t>
      </w:r>
    </w:p>
    <w:p w14:paraId="12DAB9C7" w14:textId="2B3DC00F" w:rsidR="008365BF" w:rsidRDefault="008365BF" w:rsidP="008365BF">
      <w:pPr>
        <w:pStyle w:val="NoSpacing"/>
        <w:numPr>
          <w:ilvl w:val="0"/>
          <w:numId w:val="18"/>
        </w:numPr>
      </w:pPr>
      <w:r>
        <w:t>Amazon Inc., Arlington County, Va.</w:t>
      </w:r>
    </w:p>
    <w:p w14:paraId="764C6BA6" w14:textId="77777777" w:rsidR="00D47791" w:rsidRDefault="00D47791" w:rsidP="00D47791">
      <w:pPr>
        <w:pStyle w:val="NoSpacing"/>
        <w:numPr>
          <w:ilvl w:val="0"/>
          <w:numId w:val="18"/>
        </w:numPr>
      </w:pPr>
      <w:r>
        <w:t>Mazda Toyota Manufacturing USA, Limestone County, Ala.</w:t>
      </w:r>
    </w:p>
    <w:p w14:paraId="281A66F0" w14:textId="6CCAB3F7" w:rsidR="00B73497" w:rsidRDefault="008365BF" w:rsidP="008365BF">
      <w:pPr>
        <w:pStyle w:val="NoSpacing"/>
        <w:ind w:left="360"/>
        <w:jc w:val="center"/>
      </w:pPr>
      <w:r>
        <w:br/>
        <w:t>— more —</w:t>
      </w:r>
      <w:r>
        <w:br/>
      </w:r>
      <w:r>
        <w:lastRenderedPageBreak/>
        <w:t>— 2 —</w:t>
      </w:r>
      <w:r>
        <w:br/>
      </w:r>
    </w:p>
    <w:p w14:paraId="06E148DB" w14:textId="77777777" w:rsidR="00B73497" w:rsidRDefault="00B73497" w:rsidP="00B73497">
      <w:pPr>
        <w:pStyle w:val="NoSpacing"/>
        <w:numPr>
          <w:ilvl w:val="0"/>
          <w:numId w:val="18"/>
        </w:numPr>
      </w:pPr>
      <w:r>
        <w:t>Nikola Motor Co., Pinal County, Ariz.</w:t>
      </w:r>
    </w:p>
    <w:p w14:paraId="0BB4AD6A" w14:textId="77777777" w:rsidR="00B73497" w:rsidRDefault="00B73497" w:rsidP="00B73497">
      <w:pPr>
        <w:pStyle w:val="NoSpacing"/>
        <w:numPr>
          <w:ilvl w:val="0"/>
          <w:numId w:val="18"/>
        </w:numPr>
      </w:pPr>
      <w:r>
        <w:t>Netflix, Bernalillo County, N.M.</w:t>
      </w:r>
    </w:p>
    <w:p w14:paraId="2D6D634C" w14:textId="2E16F778" w:rsidR="00B73497" w:rsidRDefault="00B73497" w:rsidP="00B73497">
      <w:pPr>
        <w:pStyle w:val="NoSpacing"/>
        <w:numPr>
          <w:ilvl w:val="0"/>
          <w:numId w:val="18"/>
        </w:numPr>
      </w:pPr>
      <w:r>
        <w:t>First Solar, Wood County, Ohio</w:t>
      </w:r>
    </w:p>
    <w:p w14:paraId="58871F64" w14:textId="77777777" w:rsidR="00B73497" w:rsidRDefault="00B73497" w:rsidP="00B73497">
      <w:pPr>
        <w:pStyle w:val="NoSpacing"/>
        <w:numPr>
          <w:ilvl w:val="0"/>
          <w:numId w:val="18"/>
        </w:numPr>
      </w:pPr>
      <w:r>
        <w:t>Facebook, Madison County, Ala.</w:t>
      </w:r>
    </w:p>
    <w:p w14:paraId="52CC35CA" w14:textId="77777777" w:rsidR="00B73497" w:rsidRDefault="00B73497" w:rsidP="00B73497">
      <w:pPr>
        <w:pStyle w:val="NoSpacing"/>
        <w:numPr>
          <w:ilvl w:val="0"/>
          <w:numId w:val="18"/>
        </w:numPr>
      </w:pPr>
      <w:r>
        <w:t>United States Steel Corp., Lake County, Ind.</w:t>
      </w:r>
    </w:p>
    <w:p w14:paraId="7F3866E3" w14:textId="77777777" w:rsidR="00B73497" w:rsidRDefault="00B73497" w:rsidP="00B73497">
      <w:pPr>
        <w:pStyle w:val="NoSpacing"/>
        <w:numPr>
          <w:ilvl w:val="0"/>
          <w:numId w:val="18"/>
        </w:numPr>
      </w:pPr>
      <w:r>
        <w:t>Ford Motor Co., Wayne County, Mich.</w:t>
      </w:r>
    </w:p>
    <w:p w14:paraId="31D010DF" w14:textId="77777777" w:rsidR="00B73497" w:rsidRDefault="00B73497" w:rsidP="00B73497">
      <w:pPr>
        <w:pStyle w:val="NoSpacing"/>
        <w:numPr>
          <w:ilvl w:val="0"/>
          <w:numId w:val="18"/>
        </w:numPr>
      </w:pPr>
      <w:r>
        <w:t>Nucor Steel Gallatin, Gallatin County, Ky.</w:t>
      </w:r>
    </w:p>
    <w:p w14:paraId="1623FEF9" w14:textId="77777777" w:rsidR="00B73497" w:rsidRDefault="00B73497" w:rsidP="00B73497">
      <w:pPr>
        <w:pStyle w:val="NoSpacing"/>
        <w:numPr>
          <w:ilvl w:val="0"/>
          <w:numId w:val="18"/>
        </w:numPr>
      </w:pPr>
      <w:r>
        <w:t>Amazon.com LLC, Davidson County, Tenn.</w:t>
      </w:r>
    </w:p>
    <w:p w14:paraId="7DF966A0" w14:textId="77777777" w:rsidR="00B73497" w:rsidRDefault="00B73497" w:rsidP="00B73497">
      <w:pPr>
        <w:pStyle w:val="NoSpacing"/>
        <w:numPr>
          <w:ilvl w:val="0"/>
          <w:numId w:val="18"/>
        </w:numPr>
      </w:pPr>
      <w:r>
        <w:t>Lehigh Cement Co. LLC, Lawrence County, Ind.</w:t>
      </w:r>
    </w:p>
    <w:p w14:paraId="63E315F6" w14:textId="77777777" w:rsidR="00B73497" w:rsidRDefault="00B73497" w:rsidP="00B73497">
      <w:pPr>
        <w:pStyle w:val="NoSpacing"/>
        <w:numPr>
          <w:ilvl w:val="0"/>
          <w:numId w:val="18"/>
        </w:numPr>
      </w:pPr>
      <w:r>
        <w:t>JSW Steel USA Ohio Inc., Jefferson County, Ohio</w:t>
      </w:r>
    </w:p>
    <w:p w14:paraId="19CE78BA" w14:textId="77777777" w:rsidR="00B73497" w:rsidRDefault="00B73497" w:rsidP="00B73497">
      <w:pPr>
        <w:pStyle w:val="NoSpacing"/>
        <w:numPr>
          <w:ilvl w:val="0"/>
          <w:numId w:val="18"/>
        </w:numPr>
      </w:pPr>
      <w:r>
        <w:t>Green Bay Packaging Inc., Brown County, Wis.</w:t>
      </w:r>
    </w:p>
    <w:p w14:paraId="20FA42CD" w14:textId="77777777" w:rsidR="00B73497" w:rsidRDefault="00B73497" w:rsidP="00B73497">
      <w:pPr>
        <w:pStyle w:val="NoSpacing"/>
      </w:pPr>
    </w:p>
    <w:p w14:paraId="3BE17409" w14:textId="77777777" w:rsidR="00B73497" w:rsidRPr="00D53245" w:rsidRDefault="00B73497" w:rsidP="00B73497">
      <w:pPr>
        <w:pStyle w:val="NoSpacing"/>
        <w:rPr>
          <w:b/>
          <w:bCs/>
        </w:rPr>
      </w:pPr>
      <w:r w:rsidRPr="00D53245">
        <w:rPr>
          <w:b/>
          <w:bCs/>
        </w:rPr>
        <w:t xml:space="preserve">2019 </w:t>
      </w:r>
      <w:proofErr w:type="spellStart"/>
      <w:r w:rsidRPr="00D53245">
        <w:rPr>
          <w:b/>
          <w:bCs/>
        </w:rPr>
        <w:t>CiCi</w:t>
      </w:r>
      <w:proofErr w:type="spellEnd"/>
      <w:r w:rsidRPr="00D53245">
        <w:rPr>
          <w:b/>
          <w:bCs/>
        </w:rPr>
        <w:t xml:space="preserve"> Awards—Community Impact</w:t>
      </w:r>
    </w:p>
    <w:p w14:paraId="532D54A3" w14:textId="77777777" w:rsidR="00B73497" w:rsidRDefault="00B73497" w:rsidP="00B73497">
      <w:pPr>
        <w:pStyle w:val="NoSpacing"/>
        <w:numPr>
          <w:ilvl w:val="0"/>
          <w:numId w:val="19"/>
        </w:numPr>
      </w:pPr>
      <w:proofErr w:type="spellStart"/>
      <w:r>
        <w:t>Sofidel</w:t>
      </w:r>
      <w:proofErr w:type="spellEnd"/>
      <w:r>
        <w:t xml:space="preserve"> America Corp., Rogers County, Okla.</w:t>
      </w:r>
    </w:p>
    <w:p w14:paraId="0D14C31D" w14:textId="77777777" w:rsidR="00B73497" w:rsidRDefault="00B73497" w:rsidP="00B73497">
      <w:pPr>
        <w:pStyle w:val="NoSpacing"/>
        <w:numPr>
          <w:ilvl w:val="0"/>
          <w:numId w:val="19"/>
        </w:numPr>
      </w:pPr>
      <w:r>
        <w:t>Amazon, Jefferson County, Ala.</w:t>
      </w:r>
    </w:p>
    <w:p w14:paraId="708DF777" w14:textId="77777777" w:rsidR="00B73497" w:rsidRDefault="00B73497" w:rsidP="00B73497">
      <w:pPr>
        <w:pStyle w:val="NoSpacing"/>
        <w:numPr>
          <w:ilvl w:val="0"/>
          <w:numId w:val="19"/>
        </w:numPr>
      </w:pPr>
      <w:proofErr w:type="spellStart"/>
      <w:r>
        <w:t>Novelis</w:t>
      </w:r>
      <w:proofErr w:type="spellEnd"/>
      <w:r>
        <w:t xml:space="preserve"> Corp., Todd County, Ky.</w:t>
      </w:r>
    </w:p>
    <w:p w14:paraId="115B7875" w14:textId="77777777" w:rsidR="00B73497" w:rsidRDefault="00B73497" w:rsidP="00B73497">
      <w:pPr>
        <w:pStyle w:val="NoSpacing"/>
        <w:numPr>
          <w:ilvl w:val="0"/>
          <w:numId w:val="19"/>
        </w:numPr>
      </w:pPr>
      <w:r>
        <w:t>Hanwha Q CELLS, Whitfield County, Ga.</w:t>
      </w:r>
    </w:p>
    <w:p w14:paraId="7D28ED74" w14:textId="77777777" w:rsidR="00B73497" w:rsidRDefault="00B73497" w:rsidP="00B73497">
      <w:pPr>
        <w:pStyle w:val="NoSpacing"/>
        <w:numPr>
          <w:ilvl w:val="0"/>
          <w:numId w:val="19"/>
        </w:numPr>
      </w:pPr>
      <w:r>
        <w:t>LaSalle Lumber Co., LaSalle Parish, La.</w:t>
      </w:r>
    </w:p>
    <w:p w14:paraId="262A69E3" w14:textId="77777777" w:rsidR="00B73497" w:rsidRDefault="00B73497" w:rsidP="00B73497">
      <w:pPr>
        <w:pStyle w:val="NoSpacing"/>
        <w:numPr>
          <w:ilvl w:val="0"/>
          <w:numId w:val="19"/>
        </w:numPr>
      </w:pPr>
      <w:proofErr w:type="spellStart"/>
      <w:r>
        <w:t>CoverMyMeds</w:t>
      </w:r>
      <w:proofErr w:type="spellEnd"/>
      <w:r>
        <w:t xml:space="preserve"> LLC, Franklin County, Ohio</w:t>
      </w:r>
    </w:p>
    <w:p w14:paraId="442CEEEC" w14:textId="77777777" w:rsidR="00B73497" w:rsidRDefault="00B73497" w:rsidP="00B73497">
      <w:pPr>
        <w:pStyle w:val="NoSpacing"/>
        <w:numPr>
          <w:ilvl w:val="0"/>
          <w:numId w:val="19"/>
        </w:numPr>
      </w:pPr>
      <w:proofErr w:type="spellStart"/>
      <w:r>
        <w:t>Polywood</w:t>
      </w:r>
      <w:proofErr w:type="spellEnd"/>
      <w:r>
        <w:t>, Person County, N.C.</w:t>
      </w:r>
    </w:p>
    <w:p w14:paraId="0AD6BC30" w14:textId="77777777" w:rsidR="00B73497" w:rsidRDefault="00B73497" w:rsidP="00B73497">
      <w:pPr>
        <w:pStyle w:val="NoSpacing"/>
        <w:numPr>
          <w:ilvl w:val="0"/>
          <w:numId w:val="19"/>
        </w:numPr>
      </w:pPr>
      <w:proofErr w:type="spellStart"/>
      <w:r>
        <w:t>Verbio</w:t>
      </w:r>
      <w:proofErr w:type="spellEnd"/>
      <w:r>
        <w:t xml:space="preserve"> North America Corp., Story County, Iowa</w:t>
      </w:r>
    </w:p>
    <w:p w14:paraId="6AFE38DA" w14:textId="77777777" w:rsidR="00B73497" w:rsidRDefault="00B73497" w:rsidP="00B73497">
      <w:pPr>
        <w:pStyle w:val="NoSpacing"/>
        <w:numPr>
          <w:ilvl w:val="0"/>
          <w:numId w:val="19"/>
        </w:numPr>
      </w:pPr>
      <w:r>
        <w:t xml:space="preserve">Carl </w:t>
      </w:r>
      <w:proofErr w:type="spellStart"/>
      <w:r>
        <w:t>Buddig</w:t>
      </w:r>
      <w:proofErr w:type="spellEnd"/>
      <w:r>
        <w:t xml:space="preserve"> &amp; Co. LLC, Kane &amp; Kendall Counties, Ill.</w:t>
      </w:r>
    </w:p>
    <w:p w14:paraId="35D804F9" w14:textId="77777777" w:rsidR="00B73497" w:rsidRDefault="00B73497" w:rsidP="00B73497">
      <w:pPr>
        <w:pStyle w:val="NoSpacing"/>
        <w:numPr>
          <w:ilvl w:val="0"/>
          <w:numId w:val="19"/>
        </w:numPr>
      </w:pPr>
      <w:proofErr w:type="spellStart"/>
      <w:r>
        <w:t>Nufarm</w:t>
      </w:r>
      <w:proofErr w:type="spellEnd"/>
      <w:r>
        <w:t>, Washington County, Miss.</w:t>
      </w:r>
    </w:p>
    <w:p w14:paraId="3B438F03" w14:textId="77777777" w:rsidR="00B73497" w:rsidRDefault="00B73497" w:rsidP="00B73497">
      <w:pPr>
        <w:pStyle w:val="NoSpacing"/>
        <w:numPr>
          <w:ilvl w:val="0"/>
          <w:numId w:val="19"/>
        </w:numPr>
      </w:pPr>
      <w:r>
        <w:t>Hog Technologies, Martin County, Fla.</w:t>
      </w:r>
    </w:p>
    <w:p w14:paraId="29D235AA" w14:textId="77777777" w:rsidR="00B73497" w:rsidRDefault="00B73497" w:rsidP="00B73497">
      <w:pPr>
        <w:pStyle w:val="NoSpacing"/>
        <w:numPr>
          <w:ilvl w:val="0"/>
          <w:numId w:val="19"/>
        </w:numPr>
      </w:pPr>
      <w:r>
        <w:t>Harlow Group, Pittsylvania County, Va.</w:t>
      </w:r>
    </w:p>
    <w:p w14:paraId="006190DB" w14:textId="77777777" w:rsidR="00B73497" w:rsidRDefault="00B73497" w:rsidP="00B73497">
      <w:pPr>
        <w:pStyle w:val="NoSpacing"/>
        <w:numPr>
          <w:ilvl w:val="0"/>
          <w:numId w:val="19"/>
        </w:numPr>
      </w:pPr>
      <w:r>
        <w:t>Pink Lily, Warren County, Ky.</w:t>
      </w:r>
    </w:p>
    <w:p w14:paraId="39FEC9B9" w14:textId="77777777" w:rsidR="00B73497" w:rsidRDefault="00B73497" w:rsidP="00B73497">
      <w:pPr>
        <w:pStyle w:val="NoSpacing"/>
        <w:numPr>
          <w:ilvl w:val="0"/>
          <w:numId w:val="19"/>
        </w:numPr>
      </w:pPr>
      <w:r>
        <w:t>England Furniture, Lee County, Va.</w:t>
      </w:r>
    </w:p>
    <w:p w14:paraId="7E8D7F78" w14:textId="77777777" w:rsidR="00B73497" w:rsidRDefault="00B73497" w:rsidP="00B73497">
      <w:pPr>
        <w:pStyle w:val="NoSpacing"/>
        <w:numPr>
          <w:ilvl w:val="0"/>
          <w:numId w:val="19"/>
        </w:numPr>
      </w:pPr>
      <w:r>
        <w:t>N3, Kanawha County. W.Va.</w:t>
      </w:r>
    </w:p>
    <w:p w14:paraId="2126057B" w14:textId="376703E4" w:rsidR="00B73497" w:rsidRDefault="00B73497" w:rsidP="00B73497">
      <w:pPr>
        <w:pStyle w:val="NoSpacing"/>
      </w:pPr>
    </w:p>
    <w:p w14:paraId="060D10BB" w14:textId="77777777" w:rsidR="00D47791" w:rsidRDefault="00D47791" w:rsidP="00B73497">
      <w:pPr>
        <w:pStyle w:val="NoSpacing"/>
      </w:pPr>
    </w:p>
    <w:p w14:paraId="4AACFC13" w14:textId="77777777" w:rsidR="00B73497" w:rsidRPr="00B961D8" w:rsidRDefault="00B73497" w:rsidP="00B73497">
      <w:pPr>
        <w:pStyle w:val="NoSpacing"/>
        <w:rPr>
          <w:b/>
          <w:bCs/>
          <w:sz w:val="18"/>
          <w:szCs w:val="18"/>
        </w:rPr>
      </w:pPr>
      <w:r w:rsidRPr="00B961D8">
        <w:rPr>
          <w:b/>
          <w:bCs/>
          <w:sz w:val="18"/>
          <w:szCs w:val="18"/>
        </w:rPr>
        <w:t xml:space="preserve">About </w:t>
      </w:r>
      <w:r w:rsidRPr="00B961D8">
        <w:rPr>
          <w:b/>
          <w:bCs/>
          <w:i/>
          <w:iCs/>
          <w:sz w:val="18"/>
          <w:szCs w:val="18"/>
        </w:rPr>
        <w:t>Trade &amp; Industry Development</w:t>
      </w:r>
    </w:p>
    <w:p w14:paraId="694F4E2D" w14:textId="5C154525" w:rsidR="00B73497" w:rsidRPr="00B961D8" w:rsidRDefault="00B73497" w:rsidP="00B73497">
      <w:pPr>
        <w:pStyle w:val="NoSpacing"/>
        <w:rPr>
          <w:sz w:val="18"/>
          <w:szCs w:val="18"/>
        </w:rPr>
      </w:pPr>
      <w:r w:rsidRPr="00B961D8">
        <w:rPr>
          <w:sz w:val="18"/>
          <w:szCs w:val="18"/>
        </w:rPr>
        <w:t xml:space="preserve">Produced six times a year, Trade &amp; Industry Development is dedicated to site selection in a vertical format. As the only publication of its kind, </w:t>
      </w:r>
      <w:r w:rsidRPr="00B961D8">
        <w:rPr>
          <w:i/>
          <w:iCs/>
          <w:sz w:val="18"/>
          <w:szCs w:val="18"/>
        </w:rPr>
        <w:t>T&amp;ID</w:t>
      </w:r>
      <w:r w:rsidRPr="00B961D8">
        <w:rPr>
          <w:sz w:val="18"/>
          <w:szCs w:val="18"/>
        </w:rPr>
        <w:t xml:space="preserve"> reaches more decision makers per industry than any other publication dealing with site selection. Editorial, both in the magazine, online at TradeAndIndustryDev.com and through targeted newsletters, is geared to executive decision makers with pertinent, useful site selection and business knowledge for their market. T&amp;ID also has extensive digital marketing and integrated marketing capabilities.</w:t>
      </w:r>
    </w:p>
    <w:p w14:paraId="2276F60E" w14:textId="23DFDB6C" w:rsidR="00B73497" w:rsidRDefault="00B73497" w:rsidP="00B73497">
      <w:pPr>
        <w:spacing w:after="0" w:line="240" w:lineRule="auto"/>
        <w:rPr>
          <w:rFonts w:ascii="Calibri" w:hAnsi="Calibri"/>
          <w:sz w:val="18"/>
          <w:szCs w:val="18"/>
        </w:rPr>
      </w:pPr>
    </w:p>
    <w:p w14:paraId="48CA4B88" w14:textId="7C0E5BA3" w:rsidR="00B73497" w:rsidRDefault="00B73497" w:rsidP="00B73497">
      <w:pPr>
        <w:spacing w:after="0" w:line="240" w:lineRule="auto"/>
        <w:rPr>
          <w:rFonts w:ascii="Calibri" w:hAnsi="Calibri"/>
          <w:b/>
          <w:sz w:val="18"/>
          <w:szCs w:val="18"/>
        </w:rPr>
      </w:pPr>
      <w:r w:rsidRPr="00B961D8">
        <w:rPr>
          <w:rFonts w:ascii="Calibri" w:hAnsi="Calibri"/>
          <w:b/>
          <w:sz w:val="18"/>
          <w:szCs w:val="18"/>
        </w:rPr>
        <w:t>About Due North Media</w:t>
      </w:r>
    </w:p>
    <w:p w14:paraId="729BB9B5" w14:textId="370A7921" w:rsidR="00712124" w:rsidRPr="00B961D8" w:rsidRDefault="008822CB" w:rsidP="00712124">
      <w:pPr>
        <w:pStyle w:val="NormalWeb"/>
        <w:spacing w:before="0" w:beforeAutospacing="0" w:after="0" w:afterAutospacing="0"/>
        <w:rPr>
          <w:rFonts w:ascii="Calibri" w:hAnsi="Calibri"/>
          <w:sz w:val="18"/>
          <w:szCs w:val="18"/>
        </w:rPr>
      </w:pPr>
      <w:r>
        <w:rPr>
          <w:noProof/>
        </w:rPr>
        <w:drawing>
          <wp:anchor distT="0" distB="0" distL="114300" distR="114300" simplePos="0" relativeHeight="251660288" behindDoc="0" locked="0" layoutInCell="1" allowOverlap="1" wp14:anchorId="2D857C3E" wp14:editId="7CA2305C">
            <wp:simplePos x="0" y="0"/>
            <wp:positionH relativeFrom="column">
              <wp:posOffset>5364480</wp:posOffset>
            </wp:positionH>
            <wp:positionV relativeFrom="page">
              <wp:posOffset>7749540</wp:posOffset>
            </wp:positionV>
            <wp:extent cx="668655" cy="477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NorthMedi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655" cy="477520"/>
                    </a:xfrm>
                    <a:prstGeom prst="rect">
                      <a:avLst/>
                    </a:prstGeom>
                  </pic:spPr>
                </pic:pic>
              </a:graphicData>
            </a:graphic>
            <wp14:sizeRelH relativeFrom="margin">
              <wp14:pctWidth>0</wp14:pctWidth>
            </wp14:sizeRelH>
          </wp:anchor>
        </w:drawing>
      </w:r>
      <w:r w:rsidR="00712124" w:rsidRPr="00B961D8">
        <w:rPr>
          <w:rFonts w:ascii="Calibri" w:hAnsi="Calibri"/>
          <w:sz w:val="18"/>
          <w:szCs w:val="18"/>
        </w:rPr>
        <w:t>Due North Media, a division of Due North Consulting, Inc., is a niche business-to-business publisher providing media services to executives within specialized vertical markets impacting economic development including corporate site selection, business development, market-to-market events and sports tourism via publications, digital media, qualified list marketing and custom publishing.</w:t>
      </w:r>
      <w:r w:rsidR="00712124">
        <w:rPr>
          <w:rFonts w:ascii="Calibri" w:hAnsi="Calibri"/>
          <w:sz w:val="18"/>
          <w:szCs w:val="18"/>
        </w:rPr>
        <w:t xml:space="preserve"> </w:t>
      </w:r>
      <w:r w:rsidR="00712124" w:rsidRPr="00B961D8">
        <w:rPr>
          <w:rFonts w:ascii="Calibri" w:hAnsi="Calibri"/>
          <w:sz w:val="18"/>
          <w:szCs w:val="18"/>
        </w:rPr>
        <w:t>Founded in 2001, Due North Consulting, Inc. has helped niche marketers obtain their goals for a decade and a half. The principals of the company have over 40 years of business-to-business advertising and marketing experience. It has been their mission to serve readers, clients and employees with integrity, humility and a continuing quest for the achievement of excellence.</w:t>
      </w:r>
    </w:p>
    <w:p w14:paraId="101AE3A4" w14:textId="4884D861" w:rsidR="00712124" w:rsidRPr="00B961D8" w:rsidRDefault="00712124" w:rsidP="00B73497">
      <w:pPr>
        <w:spacing w:after="0" w:line="240" w:lineRule="auto"/>
        <w:rPr>
          <w:rFonts w:ascii="Calibri" w:hAnsi="Calibri"/>
          <w:b/>
          <w:sz w:val="18"/>
          <w:szCs w:val="18"/>
        </w:rPr>
      </w:pPr>
    </w:p>
    <w:p w14:paraId="194789F7" w14:textId="64D40008" w:rsidR="00B73497" w:rsidRDefault="00B73497" w:rsidP="00B73497">
      <w:pPr>
        <w:pStyle w:val="NoSpacing"/>
        <w:jc w:val="center"/>
      </w:pPr>
      <w:r>
        <w:t># # #</w:t>
      </w:r>
    </w:p>
    <w:sectPr w:rsidR="00B73497" w:rsidSect="00AE7D43">
      <w:headerReference w:type="default" r:id="rId8"/>
      <w:footerReference w:type="default" r:id="rId9"/>
      <w:headerReference w:type="first" r:id="rId10"/>
      <w:footerReference w:type="first" r:id="rId11"/>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C6AB" w14:textId="77777777" w:rsidR="00AC3F3F" w:rsidRDefault="00AC3F3F" w:rsidP="00A02EE0">
      <w:pPr>
        <w:spacing w:after="0" w:line="240" w:lineRule="auto"/>
      </w:pPr>
      <w:r>
        <w:separator/>
      </w:r>
    </w:p>
  </w:endnote>
  <w:endnote w:type="continuationSeparator" w:id="0">
    <w:p w14:paraId="7E6A30FC" w14:textId="77777777" w:rsidR="00AC3F3F" w:rsidRDefault="00AC3F3F" w:rsidP="00A0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90DE" w14:textId="22F2D5E7" w:rsidR="00DE7127" w:rsidRPr="00DE7127" w:rsidRDefault="00DE7127" w:rsidP="002E0520">
    <w:pPr>
      <w:pStyle w:val="Footer"/>
      <w:jc w:val="center"/>
      <w:rPr>
        <w:sz w:val="18"/>
        <w:szCs w:val="18"/>
      </w:rPr>
    </w:pPr>
    <w:r w:rsidRPr="00DE7127">
      <w:rPr>
        <w:sz w:val="18"/>
        <w:szCs w:val="18"/>
      </w:rPr>
      <w:t xml:space="preserve">Due North Media and </w:t>
    </w:r>
    <w:r w:rsidR="00B73497">
      <w:rPr>
        <w:i/>
        <w:sz w:val="18"/>
        <w:szCs w:val="18"/>
      </w:rPr>
      <w:t>Trade &amp; Industry Development</w:t>
    </w:r>
    <w:r w:rsidRPr="00DE7127">
      <w:rPr>
        <w:sz w:val="18"/>
        <w:szCs w:val="18"/>
      </w:rPr>
      <w:t xml:space="preserve"> are divisions of Due North Consulting,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3AA3" w14:textId="77777777" w:rsidR="00AE7D43" w:rsidRPr="00DE7127" w:rsidRDefault="00AE7D43" w:rsidP="00AE7D43">
    <w:pPr>
      <w:pStyle w:val="Footer"/>
      <w:jc w:val="center"/>
      <w:rPr>
        <w:sz w:val="18"/>
        <w:szCs w:val="18"/>
      </w:rPr>
    </w:pPr>
    <w:r w:rsidRPr="00DE7127">
      <w:rPr>
        <w:sz w:val="18"/>
        <w:szCs w:val="18"/>
      </w:rPr>
      <w:t xml:space="preserve">Due North Media and </w:t>
    </w:r>
    <w:r>
      <w:rPr>
        <w:i/>
        <w:sz w:val="18"/>
        <w:szCs w:val="18"/>
      </w:rPr>
      <w:t>Trade &amp; Industry Development</w:t>
    </w:r>
    <w:r w:rsidRPr="00DE7127">
      <w:rPr>
        <w:sz w:val="18"/>
        <w:szCs w:val="18"/>
      </w:rPr>
      <w:t xml:space="preserve"> are divisions of Due North Consulting, Inc</w:t>
    </w:r>
  </w:p>
  <w:p w14:paraId="0A848C11" w14:textId="77777777" w:rsidR="00AE7D43" w:rsidRDefault="00AE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30BC" w14:textId="77777777" w:rsidR="00AC3F3F" w:rsidRDefault="00AC3F3F" w:rsidP="00A02EE0">
      <w:pPr>
        <w:spacing w:after="0" w:line="240" w:lineRule="auto"/>
      </w:pPr>
      <w:r>
        <w:separator/>
      </w:r>
    </w:p>
  </w:footnote>
  <w:footnote w:type="continuationSeparator" w:id="0">
    <w:p w14:paraId="6919D468" w14:textId="77777777" w:rsidR="00AC3F3F" w:rsidRDefault="00AC3F3F" w:rsidP="00A0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C523" w14:textId="367FEDE8" w:rsidR="00F22A83" w:rsidRPr="00F22A83" w:rsidRDefault="00F22A83">
    <w:pPr>
      <w:pStyle w:val="Header"/>
      <w:rPr>
        <w:b/>
        <w:bCs/>
      </w:rPr>
    </w:pPr>
    <w:r w:rsidRPr="00F22A83">
      <w:rPr>
        <w:b/>
        <w:bCs/>
      </w:rPr>
      <w:t>Trade &amp; Industry Development</w:t>
    </w:r>
    <w:r w:rsidRPr="00F22A83">
      <w:rPr>
        <w:b/>
        <w:bCs/>
      </w:rPr>
      <w:br/>
      <w:t xml:space="preserve">2019 </w:t>
    </w:r>
    <w:proofErr w:type="spellStart"/>
    <w:r w:rsidRPr="00F22A83">
      <w:rPr>
        <w:b/>
        <w:bCs/>
      </w:rPr>
      <w:t>CiCi</w:t>
    </w:r>
    <w:proofErr w:type="spellEnd"/>
    <w:r w:rsidRPr="00F22A83">
      <w:rPr>
        <w:b/>
        <w:bCs/>
      </w:rPr>
      <w:t xml:space="preserve"> Awards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E087" w14:textId="77777777" w:rsidR="00AE7D43" w:rsidRDefault="00AE7D43" w:rsidP="00AE7D43">
    <w:pPr>
      <w:pStyle w:val="ContactInfo"/>
      <w:tabs>
        <w:tab w:val="left" w:pos="8220"/>
        <w:tab w:val="right" w:pos="9360"/>
      </w:tabs>
    </w:pPr>
    <w:r w:rsidRPr="00A02EE0">
      <w:rPr>
        <w:noProof/>
        <w:sz w:val="22"/>
        <w:szCs w:val="22"/>
      </w:rPr>
      <mc:AlternateContent>
        <mc:Choice Requires="wps">
          <w:drawing>
            <wp:anchor distT="0" distB="0" distL="114300" distR="114300" simplePos="0" relativeHeight="251659264" behindDoc="0" locked="0" layoutInCell="1" allowOverlap="1" wp14:anchorId="14FF9002" wp14:editId="2B446509">
              <wp:simplePos x="0" y="0"/>
              <wp:positionH relativeFrom="column">
                <wp:posOffset>4183380</wp:posOffset>
              </wp:positionH>
              <wp:positionV relativeFrom="paragraph">
                <wp:posOffset>-7620</wp:posOffset>
              </wp:positionV>
              <wp:extent cx="2501330" cy="853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330" cy="853440"/>
                      </a:xfrm>
                      <a:prstGeom prst="rect">
                        <a:avLst/>
                      </a:prstGeom>
                      <a:solidFill>
                        <a:srgbClr val="FFFFFF"/>
                      </a:solidFill>
                      <a:ln w="9525">
                        <a:noFill/>
                        <a:miter lim="800000"/>
                        <a:headEnd/>
                        <a:tailEnd/>
                      </a:ln>
                    </wps:spPr>
                    <wps:txbx>
                      <w:txbxContent>
                        <w:p w14:paraId="19FE2D56" w14:textId="77777777" w:rsidR="00AE7D43" w:rsidRPr="00A02EE0" w:rsidRDefault="00AE7D43" w:rsidP="00AE7D43">
                          <w:pPr>
                            <w:pStyle w:val="ContactInfo"/>
                            <w:jc w:val="right"/>
                          </w:pPr>
                          <w:r w:rsidRPr="00A02EE0">
                            <w:rPr>
                              <w:b/>
                            </w:rPr>
                            <w:t>Contact:</w:t>
                          </w:r>
                          <w:r w:rsidRPr="00A02EE0">
                            <w:t xml:space="preserve"> </w:t>
                          </w:r>
                          <w:r>
                            <w:t>Peter Francesconi</w:t>
                          </w:r>
                          <w:r w:rsidRPr="0032270F">
                            <w:t>, Managing Editor</w:t>
                          </w:r>
                        </w:p>
                        <w:p w14:paraId="471E08D2" w14:textId="77777777" w:rsidR="00AE7D43" w:rsidRDefault="00AE7D43" w:rsidP="00AE7D43">
                          <w:pPr>
                            <w:pStyle w:val="Header"/>
                            <w:jc w:val="right"/>
                            <w:rPr>
                              <w:sz w:val="18"/>
                              <w:szCs w:val="18"/>
                            </w:rPr>
                          </w:pPr>
                          <w:r>
                            <w:rPr>
                              <w:sz w:val="18"/>
                              <w:szCs w:val="18"/>
                            </w:rPr>
                            <w:t>Trade &amp; Industry Development</w:t>
                          </w:r>
                        </w:p>
                        <w:p w14:paraId="66452C30" w14:textId="77777777" w:rsidR="00AE7D43" w:rsidRPr="00A02EE0" w:rsidRDefault="00AE7D43" w:rsidP="00AE7D43">
                          <w:pPr>
                            <w:pStyle w:val="Header"/>
                            <w:jc w:val="right"/>
                            <w:rPr>
                              <w:i/>
                              <w:sz w:val="18"/>
                              <w:szCs w:val="18"/>
                            </w:rPr>
                          </w:pPr>
                          <w:r>
                            <w:rPr>
                              <w:sz w:val="18"/>
                              <w:szCs w:val="18"/>
                            </w:rPr>
                            <w:t>Due North Media</w:t>
                          </w:r>
                        </w:p>
                        <w:p w14:paraId="06BD2DB8" w14:textId="77777777" w:rsidR="00AE7D43" w:rsidRPr="00A02EE0" w:rsidRDefault="00AE7D43" w:rsidP="00AE7D43">
                          <w:pPr>
                            <w:pStyle w:val="Header"/>
                            <w:jc w:val="right"/>
                            <w:rPr>
                              <w:sz w:val="18"/>
                              <w:szCs w:val="18"/>
                            </w:rPr>
                          </w:pPr>
                          <w:r>
                            <w:rPr>
                              <w:sz w:val="18"/>
                              <w:szCs w:val="18"/>
                            </w:rPr>
                            <w:t>203-638-5121</w:t>
                          </w:r>
                        </w:p>
                        <w:p w14:paraId="228F9E1F" w14:textId="77777777" w:rsidR="00AE7D43" w:rsidRPr="00A02EE0" w:rsidRDefault="00AE7D43" w:rsidP="00AE7D43">
                          <w:pPr>
                            <w:pStyle w:val="Header"/>
                            <w:jc w:val="right"/>
                            <w:rPr>
                              <w:sz w:val="18"/>
                              <w:szCs w:val="18"/>
                            </w:rPr>
                          </w:pPr>
                          <w:hyperlink r:id="rId1" w:history="1">
                            <w:r>
                              <w:rPr>
                                <w:rStyle w:val="Hyperlink"/>
                                <w:sz w:val="18"/>
                                <w:szCs w:val="18"/>
                              </w:rPr>
                              <w:t>pfrancesconi@duenorthmedia.com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F9002" id="_x0000_t202" coordsize="21600,21600" o:spt="202" path="m,l,21600r21600,l21600,xe">
              <v:stroke joinstyle="miter"/>
              <v:path gradientshapeok="t" o:connecttype="rect"/>
            </v:shapetype>
            <v:shape id="Text Box 2" o:spid="_x0000_s1026" type="#_x0000_t202" style="position:absolute;margin-left:329.4pt;margin-top:-.6pt;width:196.9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" stroked="f">
              <v:textbox>
                <w:txbxContent>
                  <w:p w14:paraId="19FE2D56" w14:textId="77777777" w:rsidR="00AE7D43" w:rsidRPr="00A02EE0" w:rsidRDefault="00AE7D43" w:rsidP="00AE7D43">
                    <w:pPr>
                      <w:pStyle w:val="ContactInfo"/>
                      <w:jc w:val="right"/>
                    </w:pPr>
                    <w:r w:rsidRPr="00A02EE0">
                      <w:rPr>
                        <w:b/>
                      </w:rPr>
                      <w:t>Contact:</w:t>
                    </w:r>
                    <w:r w:rsidRPr="00A02EE0">
                      <w:t xml:space="preserve"> </w:t>
                    </w:r>
                    <w:r>
                      <w:t>Peter Francesconi</w:t>
                    </w:r>
                    <w:r w:rsidRPr="0032270F">
                      <w:t>, Managing Editor</w:t>
                    </w:r>
                  </w:p>
                  <w:p w14:paraId="471E08D2" w14:textId="77777777" w:rsidR="00AE7D43" w:rsidRDefault="00AE7D43" w:rsidP="00AE7D43">
                    <w:pPr>
                      <w:pStyle w:val="Header"/>
                      <w:jc w:val="right"/>
                      <w:rPr>
                        <w:sz w:val="18"/>
                        <w:szCs w:val="18"/>
                      </w:rPr>
                    </w:pPr>
                    <w:r>
                      <w:rPr>
                        <w:sz w:val="18"/>
                        <w:szCs w:val="18"/>
                      </w:rPr>
                      <w:t>Trade &amp; Industry Development</w:t>
                    </w:r>
                  </w:p>
                  <w:p w14:paraId="66452C30" w14:textId="77777777" w:rsidR="00AE7D43" w:rsidRPr="00A02EE0" w:rsidRDefault="00AE7D43" w:rsidP="00AE7D43">
                    <w:pPr>
                      <w:pStyle w:val="Header"/>
                      <w:jc w:val="right"/>
                      <w:rPr>
                        <w:i/>
                        <w:sz w:val="18"/>
                        <w:szCs w:val="18"/>
                      </w:rPr>
                    </w:pPr>
                    <w:r>
                      <w:rPr>
                        <w:sz w:val="18"/>
                        <w:szCs w:val="18"/>
                      </w:rPr>
                      <w:t>Due North Media</w:t>
                    </w:r>
                  </w:p>
                  <w:p w14:paraId="06BD2DB8" w14:textId="77777777" w:rsidR="00AE7D43" w:rsidRPr="00A02EE0" w:rsidRDefault="00AE7D43" w:rsidP="00AE7D43">
                    <w:pPr>
                      <w:pStyle w:val="Header"/>
                      <w:jc w:val="right"/>
                      <w:rPr>
                        <w:sz w:val="18"/>
                        <w:szCs w:val="18"/>
                      </w:rPr>
                    </w:pPr>
                    <w:r>
                      <w:rPr>
                        <w:sz w:val="18"/>
                        <w:szCs w:val="18"/>
                      </w:rPr>
                      <w:t>203-638-5121</w:t>
                    </w:r>
                  </w:p>
                  <w:p w14:paraId="228F9E1F" w14:textId="77777777" w:rsidR="00AE7D43" w:rsidRPr="00A02EE0" w:rsidRDefault="00AE7D43" w:rsidP="00AE7D43">
                    <w:pPr>
                      <w:pStyle w:val="Header"/>
                      <w:jc w:val="right"/>
                      <w:rPr>
                        <w:sz w:val="18"/>
                        <w:szCs w:val="18"/>
                      </w:rPr>
                    </w:pPr>
                    <w:hyperlink r:id="rId2" w:history="1">
                      <w:r>
                        <w:rPr>
                          <w:rStyle w:val="Hyperlink"/>
                          <w:sz w:val="18"/>
                          <w:szCs w:val="18"/>
                        </w:rPr>
                        <w:t>pfrancesconi@duenorthmedia.com</w:t>
                      </w:r>
                    </w:hyperlink>
                  </w:p>
                </w:txbxContent>
              </v:textbox>
            </v:shape>
          </w:pict>
        </mc:Fallback>
      </mc:AlternateContent>
    </w:r>
    <w:r>
      <w:rPr>
        <w:noProof/>
      </w:rPr>
      <w:drawing>
        <wp:inline distT="0" distB="0" distL="0" distR="0" wp14:anchorId="79E4C89B" wp14:editId="58F0E74E">
          <wp:extent cx="2865120" cy="694546"/>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dI_Logo_final.jpg"/>
                  <pic:cNvPicPr/>
                </pic:nvPicPr>
                <pic:blipFill>
                  <a:blip r:embed="rId3">
                    <a:extLst>
                      <a:ext uri="{28A0092B-C50C-407E-A947-70E740481C1C}">
                        <a14:useLocalDpi xmlns:a14="http://schemas.microsoft.com/office/drawing/2010/main" val="0"/>
                      </a:ext>
                    </a:extLst>
                  </a:blip>
                  <a:stretch>
                    <a:fillRect/>
                  </a:stretch>
                </pic:blipFill>
                <pic:spPr>
                  <a:xfrm>
                    <a:off x="0" y="0"/>
                    <a:ext cx="2909757" cy="705367"/>
                  </a:xfrm>
                  <a:prstGeom prst="rect">
                    <a:avLst/>
                  </a:prstGeom>
                </pic:spPr>
              </pic:pic>
            </a:graphicData>
          </a:graphic>
        </wp:inline>
      </w:drawing>
    </w:r>
  </w:p>
  <w:p w14:paraId="215CED47" w14:textId="77777777" w:rsidR="00AE7D43" w:rsidRDefault="00AE7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7AFE"/>
    <w:multiLevelType w:val="hybridMultilevel"/>
    <w:tmpl w:val="6AE2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51B3"/>
    <w:multiLevelType w:val="multilevel"/>
    <w:tmpl w:val="1AC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F3CF0"/>
    <w:multiLevelType w:val="hybridMultilevel"/>
    <w:tmpl w:val="F9D6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5D23"/>
    <w:multiLevelType w:val="hybridMultilevel"/>
    <w:tmpl w:val="7DA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113B3"/>
    <w:multiLevelType w:val="hybridMultilevel"/>
    <w:tmpl w:val="F970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C0553"/>
    <w:multiLevelType w:val="hybridMultilevel"/>
    <w:tmpl w:val="F5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95508"/>
    <w:multiLevelType w:val="hybridMultilevel"/>
    <w:tmpl w:val="938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34F7E"/>
    <w:multiLevelType w:val="hybridMultilevel"/>
    <w:tmpl w:val="C83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40B10"/>
    <w:multiLevelType w:val="hybridMultilevel"/>
    <w:tmpl w:val="0C00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903E9"/>
    <w:multiLevelType w:val="multilevel"/>
    <w:tmpl w:val="634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D1A2D"/>
    <w:multiLevelType w:val="hybridMultilevel"/>
    <w:tmpl w:val="BAD8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F5BD8"/>
    <w:multiLevelType w:val="multilevel"/>
    <w:tmpl w:val="5BD8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C54B1"/>
    <w:multiLevelType w:val="hybridMultilevel"/>
    <w:tmpl w:val="92FE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74413"/>
    <w:multiLevelType w:val="hybridMultilevel"/>
    <w:tmpl w:val="9282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B6FF0"/>
    <w:multiLevelType w:val="multilevel"/>
    <w:tmpl w:val="1AC4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B47C5"/>
    <w:multiLevelType w:val="hybridMultilevel"/>
    <w:tmpl w:val="33A4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F4905"/>
    <w:multiLevelType w:val="multilevel"/>
    <w:tmpl w:val="118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72D2B"/>
    <w:multiLevelType w:val="hybridMultilevel"/>
    <w:tmpl w:val="2C8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072BC"/>
    <w:multiLevelType w:val="hybridMultilevel"/>
    <w:tmpl w:val="B564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5"/>
  </w:num>
  <w:num w:numId="5">
    <w:abstractNumId w:val="13"/>
  </w:num>
  <w:num w:numId="6">
    <w:abstractNumId w:val="2"/>
  </w:num>
  <w:num w:numId="7">
    <w:abstractNumId w:val="8"/>
  </w:num>
  <w:num w:numId="8">
    <w:abstractNumId w:val="0"/>
  </w:num>
  <w:num w:numId="9">
    <w:abstractNumId w:val="18"/>
  </w:num>
  <w:num w:numId="10">
    <w:abstractNumId w:val="17"/>
  </w:num>
  <w:num w:numId="11">
    <w:abstractNumId w:val="4"/>
  </w:num>
  <w:num w:numId="12">
    <w:abstractNumId w:val="10"/>
  </w:num>
  <w:num w:numId="13">
    <w:abstractNumId w:val="11"/>
  </w:num>
  <w:num w:numId="14">
    <w:abstractNumId w:val="1"/>
  </w:num>
  <w:num w:numId="15">
    <w:abstractNumId w:val="9"/>
  </w:num>
  <w:num w:numId="16">
    <w:abstractNumId w:val="16"/>
  </w:num>
  <w:num w:numId="17">
    <w:abstractNumId w:val="1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E0"/>
    <w:rsid w:val="000732DC"/>
    <w:rsid w:val="000B110B"/>
    <w:rsid w:val="00114BA3"/>
    <w:rsid w:val="00131C0C"/>
    <w:rsid w:val="00180CC1"/>
    <w:rsid w:val="00215383"/>
    <w:rsid w:val="002854FC"/>
    <w:rsid w:val="002B5017"/>
    <w:rsid w:val="002E0520"/>
    <w:rsid w:val="0030635D"/>
    <w:rsid w:val="00310282"/>
    <w:rsid w:val="0032270F"/>
    <w:rsid w:val="003709ED"/>
    <w:rsid w:val="003B48EB"/>
    <w:rsid w:val="003C3F3E"/>
    <w:rsid w:val="003C5DFA"/>
    <w:rsid w:val="00432DAC"/>
    <w:rsid w:val="004D7CAD"/>
    <w:rsid w:val="00562138"/>
    <w:rsid w:val="005F7FAB"/>
    <w:rsid w:val="0062505C"/>
    <w:rsid w:val="0062516C"/>
    <w:rsid w:val="00642C1A"/>
    <w:rsid w:val="00677627"/>
    <w:rsid w:val="006A5E3D"/>
    <w:rsid w:val="006B0148"/>
    <w:rsid w:val="006F4D38"/>
    <w:rsid w:val="00712124"/>
    <w:rsid w:val="00767546"/>
    <w:rsid w:val="007E367E"/>
    <w:rsid w:val="008365BF"/>
    <w:rsid w:val="0084723C"/>
    <w:rsid w:val="00867DBC"/>
    <w:rsid w:val="008822CB"/>
    <w:rsid w:val="008F3477"/>
    <w:rsid w:val="008F436E"/>
    <w:rsid w:val="009102FE"/>
    <w:rsid w:val="009316CE"/>
    <w:rsid w:val="00A02EE0"/>
    <w:rsid w:val="00A06222"/>
    <w:rsid w:val="00A57C7E"/>
    <w:rsid w:val="00AC3F3F"/>
    <w:rsid w:val="00AE6627"/>
    <w:rsid w:val="00AE7D43"/>
    <w:rsid w:val="00AF5672"/>
    <w:rsid w:val="00B1177A"/>
    <w:rsid w:val="00B22E66"/>
    <w:rsid w:val="00B73497"/>
    <w:rsid w:val="00C35F76"/>
    <w:rsid w:val="00CA65AD"/>
    <w:rsid w:val="00CE5531"/>
    <w:rsid w:val="00D12E8D"/>
    <w:rsid w:val="00D3625F"/>
    <w:rsid w:val="00D47791"/>
    <w:rsid w:val="00D515BA"/>
    <w:rsid w:val="00DE7127"/>
    <w:rsid w:val="00DF0485"/>
    <w:rsid w:val="00E56B11"/>
    <w:rsid w:val="00E8166B"/>
    <w:rsid w:val="00EA110E"/>
    <w:rsid w:val="00EF03C6"/>
    <w:rsid w:val="00F033C5"/>
    <w:rsid w:val="00F22A83"/>
    <w:rsid w:val="00F36D8C"/>
    <w:rsid w:val="00F3714E"/>
    <w:rsid w:val="00FA0DF3"/>
    <w:rsid w:val="00FD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FB75B"/>
  <w15:docId w15:val="{905CA4CC-0FA2-4CA7-AD0D-5729DE7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E0"/>
  </w:style>
  <w:style w:type="paragraph" w:styleId="Footer">
    <w:name w:val="footer"/>
    <w:basedOn w:val="Normal"/>
    <w:link w:val="FooterChar"/>
    <w:uiPriority w:val="99"/>
    <w:unhideWhenUsed/>
    <w:rsid w:val="00A0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E0"/>
  </w:style>
  <w:style w:type="paragraph" w:styleId="BalloonText">
    <w:name w:val="Balloon Text"/>
    <w:basedOn w:val="Normal"/>
    <w:link w:val="BalloonTextChar"/>
    <w:uiPriority w:val="99"/>
    <w:semiHidden/>
    <w:unhideWhenUsed/>
    <w:rsid w:val="00A0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E0"/>
    <w:rPr>
      <w:rFonts w:ascii="Tahoma" w:hAnsi="Tahoma" w:cs="Tahoma"/>
      <w:sz w:val="16"/>
      <w:szCs w:val="16"/>
    </w:rPr>
  </w:style>
  <w:style w:type="paragraph" w:customStyle="1" w:styleId="ContactInfo">
    <w:name w:val="Contact Info"/>
    <w:basedOn w:val="Normal"/>
    <w:qFormat/>
    <w:rsid w:val="00A02EE0"/>
    <w:pPr>
      <w:spacing w:after="0" w:line="240" w:lineRule="auto"/>
    </w:pPr>
    <w:rPr>
      <w:rFonts w:eastAsia="Times New Roman" w:cs="Times New Roman"/>
      <w:spacing w:val="-5"/>
      <w:sz w:val="18"/>
      <w:szCs w:val="18"/>
    </w:rPr>
  </w:style>
  <w:style w:type="character" w:styleId="Hyperlink">
    <w:name w:val="Hyperlink"/>
    <w:basedOn w:val="DefaultParagraphFont"/>
    <w:uiPriority w:val="99"/>
    <w:unhideWhenUsed/>
    <w:rsid w:val="00A02EE0"/>
    <w:rPr>
      <w:color w:val="0000FF" w:themeColor="hyperlink"/>
      <w:u w:val="single"/>
    </w:rPr>
  </w:style>
  <w:style w:type="paragraph" w:styleId="BodyText">
    <w:name w:val="Body Text"/>
    <w:basedOn w:val="Normal"/>
    <w:link w:val="BodyTextChar"/>
    <w:qFormat/>
    <w:rsid w:val="00A02EE0"/>
    <w:pPr>
      <w:spacing w:line="320" w:lineRule="atLeast"/>
      <w:ind w:left="720" w:firstLine="360"/>
      <w:jc w:val="both"/>
    </w:pPr>
    <w:rPr>
      <w:rFonts w:eastAsia="Times New Roman" w:cs="Times New Roman"/>
      <w:spacing w:val="-5"/>
      <w:sz w:val="20"/>
      <w:szCs w:val="20"/>
    </w:rPr>
  </w:style>
  <w:style w:type="character" w:customStyle="1" w:styleId="BodyTextChar">
    <w:name w:val="Body Text Char"/>
    <w:basedOn w:val="DefaultParagraphFont"/>
    <w:link w:val="BodyText"/>
    <w:rsid w:val="00A02EE0"/>
    <w:rPr>
      <w:rFonts w:eastAsia="Times New Roman" w:cs="Times New Roman"/>
      <w:spacing w:val="-5"/>
      <w:sz w:val="20"/>
      <w:szCs w:val="20"/>
    </w:rPr>
  </w:style>
  <w:style w:type="character" w:styleId="Emphasis">
    <w:name w:val="Emphasis"/>
    <w:qFormat/>
    <w:rsid w:val="00A02EE0"/>
    <w:rPr>
      <w:rFonts w:asciiTheme="majorHAnsi" w:hAnsiTheme="majorHAnsi"/>
      <w:b/>
      <w:spacing w:val="-10"/>
    </w:rPr>
  </w:style>
  <w:style w:type="paragraph" w:styleId="NormalWeb">
    <w:name w:val="Normal (Web)"/>
    <w:basedOn w:val="Normal"/>
    <w:uiPriority w:val="99"/>
    <w:unhideWhenUsed/>
    <w:rsid w:val="00DE71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516C"/>
    <w:pPr>
      <w:ind w:left="720"/>
      <w:contextualSpacing/>
    </w:pPr>
  </w:style>
  <w:style w:type="paragraph" w:styleId="NoSpacing">
    <w:name w:val="No Spacing"/>
    <w:uiPriority w:val="1"/>
    <w:qFormat/>
    <w:rsid w:val="00F033C5"/>
    <w:pPr>
      <w:spacing w:after="0" w:line="240" w:lineRule="auto"/>
    </w:pPr>
  </w:style>
  <w:style w:type="character" w:styleId="FollowedHyperlink">
    <w:name w:val="FollowedHyperlink"/>
    <w:basedOn w:val="DefaultParagraphFont"/>
    <w:uiPriority w:val="99"/>
    <w:semiHidden/>
    <w:unhideWhenUsed/>
    <w:rsid w:val="00310282"/>
    <w:rPr>
      <w:color w:val="800080" w:themeColor="followedHyperlink"/>
      <w:u w:val="single"/>
    </w:rPr>
  </w:style>
  <w:style w:type="character" w:styleId="UnresolvedMention">
    <w:name w:val="Unresolved Mention"/>
    <w:basedOn w:val="DefaultParagraphFont"/>
    <w:uiPriority w:val="99"/>
    <w:semiHidden/>
    <w:unhideWhenUsed/>
    <w:rsid w:val="005F7FAB"/>
    <w:rPr>
      <w:color w:val="605E5C"/>
      <w:shd w:val="clear" w:color="auto" w:fill="E1DFDD"/>
    </w:rPr>
  </w:style>
  <w:style w:type="character" w:styleId="Strong">
    <w:name w:val="Strong"/>
    <w:basedOn w:val="DefaultParagraphFont"/>
    <w:uiPriority w:val="22"/>
    <w:qFormat/>
    <w:rsid w:val="005F7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609">
      <w:bodyDiv w:val="1"/>
      <w:marLeft w:val="0"/>
      <w:marRight w:val="0"/>
      <w:marTop w:val="0"/>
      <w:marBottom w:val="0"/>
      <w:divBdr>
        <w:top w:val="none" w:sz="0" w:space="0" w:color="auto"/>
        <w:left w:val="none" w:sz="0" w:space="0" w:color="auto"/>
        <w:bottom w:val="none" w:sz="0" w:space="0" w:color="auto"/>
        <w:right w:val="none" w:sz="0" w:space="0" w:color="auto"/>
      </w:divBdr>
      <w:divsChild>
        <w:div w:id="739443736">
          <w:marLeft w:val="0"/>
          <w:marRight w:val="0"/>
          <w:marTop w:val="0"/>
          <w:marBottom w:val="0"/>
          <w:divBdr>
            <w:top w:val="none" w:sz="0" w:space="0" w:color="auto"/>
            <w:left w:val="none" w:sz="0" w:space="0" w:color="auto"/>
            <w:bottom w:val="none" w:sz="0" w:space="0" w:color="auto"/>
            <w:right w:val="none" w:sz="0" w:space="0" w:color="auto"/>
          </w:divBdr>
          <w:divsChild>
            <w:div w:id="976566954">
              <w:marLeft w:val="0"/>
              <w:marRight w:val="0"/>
              <w:marTop w:val="0"/>
              <w:marBottom w:val="0"/>
              <w:divBdr>
                <w:top w:val="none" w:sz="0" w:space="0" w:color="auto"/>
                <w:left w:val="none" w:sz="0" w:space="0" w:color="auto"/>
                <w:bottom w:val="none" w:sz="0" w:space="0" w:color="auto"/>
                <w:right w:val="none" w:sz="0" w:space="0" w:color="auto"/>
              </w:divBdr>
              <w:divsChild>
                <w:div w:id="1604067435">
                  <w:marLeft w:val="0"/>
                  <w:marRight w:val="0"/>
                  <w:marTop w:val="0"/>
                  <w:marBottom w:val="0"/>
                  <w:divBdr>
                    <w:top w:val="none" w:sz="0" w:space="0" w:color="auto"/>
                    <w:left w:val="none" w:sz="0" w:space="0" w:color="auto"/>
                    <w:bottom w:val="none" w:sz="0" w:space="0" w:color="auto"/>
                    <w:right w:val="none" w:sz="0" w:space="0" w:color="auto"/>
                  </w:divBdr>
                  <w:divsChild>
                    <w:div w:id="13821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5564">
      <w:bodyDiv w:val="1"/>
      <w:marLeft w:val="0"/>
      <w:marRight w:val="0"/>
      <w:marTop w:val="0"/>
      <w:marBottom w:val="0"/>
      <w:divBdr>
        <w:top w:val="none" w:sz="0" w:space="0" w:color="auto"/>
        <w:left w:val="none" w:sz="0" w:space="0" w:color="auto"/>
        <w:bottom w:val="none" w:sz="0" w:space="0" w:color="auto"/>
        <w:right w:val="none" w:sz="0" w:space="0" w:color="auto"/>
      </w:divBdr>
      <w:divsChild>
        <w:div w:id="1426345517">
          <w:marLeft w:val="0"/>
          <w:marRight w:val="0"/>
          <w:marTop w:val="0"/>
          <w:marBottom w:val="0"/>
          <w:divBdr>
            <w:top w:val="none" w:sz="0" w:space="0" w:color="auto"/>
            <w:left w:val="none" w:sz="0" w:space="0" w:color="auto"/>
            <w:bottom w:val="none" w:sz="0" w:space="0" w:color="auto"/>
            <w:right w:val="none" w:sz="0" w:space="0" w:color="auto"/>
          </w:divBdr>
          <w:divsChild>
            <w:div w:id="15264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0680">
      <w:bodyDiv w:val="1"/>
      <w:marLeft w:val="0"/>
      <w:marRight w:val="0"/>
      <w:marTop w:val="0"/>
      <w:marBottom w:val="0"/>
      <w:divBdr>
        <w:top w:val="none" w:sz="0" w:space="0" w:color="auto"/>
        <w:left w:val="none" w:sz="0" w:space="0" w:color="auto"/>
        <w:bottom w:val="none" w:sz="0" w:space="0" w:color="auto"/>
        <w:right w:val="none" w:sz="0" w:space="0" w:color="auto"/>
      </w:divBdr>
    </w:div>
    <w:div w:id="1350644490">
      <w:bodyDiv w:val="1"/>
      <w:marLeft w:val="0"/>
      <w:marRight w:val="0"/>
      <w:marTop w:val="0"/>
      <w:marBottom w:val="0"/>
      <w:divBdr>
        <w:top w:val="none" w:sz="0" w:space="0" w:color="auto"/>
        <w:left w:val="none" w:sz="0" w:space="0" w:color="auto"/>
        <w:bottom w:val="none" w:sz="0" w:space="0" w:color="auto"/>
        <w:right w:val="none" w:sz="0" w:space="0" w:color="auto"/>
      </w:divBdr>
      <w:divsChild>
        <w:div w:id="991759837">
          <w:marLeft w:val="0"/>
          <w:marRight w:val="0"/>
          <w:marTop w:val="0"/>
          <w:marBottom w:val="0"/>
          <w:divBdr>
            <w:top w:val="none" w:sz="0" w:space="0" w:color="auto"/>
            <w:left w:val="none" w:sz="0" w:space="0" w:color="auto"/>
            <w:bottom w:val="none" w:sz="0" w:space="0" w:color="auto"/>
            <w:right w:val="none" w:sz="0" w:space="0" w:color="auto"/>
          </w:divBdr>
          <w:divsChild>
            <w:div w:id="1088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msprecher@duenorthmedia.com" TargetMode="External"/><Relationship Id="rId1" Type="http://schemas.openxmlformats.org/officeDocument/2006/relationships/hyperlink" Target="mailto:msprecher@duenorth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 Johnson</dc:creator>
  <cp:lastModifiedBy>Peter Francesconi</cp:lastModifiedBy>
  <cp:revision>14</cp:revision>
  <dcterms:created xsi:type="dcterms:W3CDTF">2019-06-12T17:06:00Z</dcterms:created>
  <dcterms:modified xsi:type="dcterms:W3CDTF">2019-06-24T18:46:00Z</dcterms:modified>
</cp:coreProperties>
</file>